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68" w:rsidRDefault="00EB1368" w:rsidP="00EB1368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69"/>
        <w:tblW w:w="1099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88"/>
        <w:gridCol w:w="7290"/>
        <w:gridCol w:w="1620"/>
      </w:tblGrid>
      <w:tr w:rsidR="00EB1368" w:rsidTr="00AB305C">
        <w:trPr>
          <w:trHeight w:val="1623"/>
        </w:trPr>
        <w:tc>
          <w:tcPr>
            <w:tcW w:w="2088" w:type="dxa"/>
          </w:tcPr>
          <w:p w:rsidR="00EB1368" w:rsidRDefault="00EB1368" w:rsidP="00AB305C">
            <w:r>
              <w:rPr>
                <w:rFonts w:ascii="Times New Roman" w:hAnsi="Times New Roman"/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66825" cy="976343"/>
                  <wp:effectExtent l="19050" t="0" r="9525" b="0"/>
                  <wp:docPr id="47" name="Picture 4" descr="C:\Users\AdminCEK\Desktop\Desktop 2018\College Logo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CEK\Desktop\Desktop 2018\College Logo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7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:rsidR="00EB1368" w:rsidRPr="00300F31" w:rsidRDefault="00EB1368" w:rsidP="00AB305C">
            <w:pPr>
              <w:autoSpaceDE w:val="0"/>
              <w:autoSpaceDN w:val="0"/>
              <w:adjustRightInd w:val="0"/>
              <w:ind w:left="630" w:hanging="720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300F3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COLLEGE OF ENGINEERING KARUNAGAPPALLY</w:t>
            </w:r>
          </w:p>
          <w:p w:rsidR="00EB1368" w:rsidRPr="00664727" w:rsidRDefault="00EB1368" w:rsidP="00AB305C">
            <w:pPr>
              <w:autoSpaceDE w:val="0"/>
              <w:autoSpaceDN w:val="0"/>
              <w:adjustRightInd w:val="0"/>
              <w:ind w:left="630" w:hanging="72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(Govt. of Kerala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Managed by IHRD</w:t>
            </w:r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EB1368" w:rsidRDefault="00EB1368" w:rsidP="00AB305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Thodiyoor</w:t>
            </w:r>
            <w:proofErr w:type="spellEnd"/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P.O,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Karunagappally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Kollam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608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-690523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Kerala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</w:p>
          <w:p w:rsidR="00EB1368" w:rsidRDefault="00EB1368" w:rsidP="00AB305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933885">
              <w:rPr>
                <w:rFonts w:ascii="Times New Roman" w:hAnsi="Times New Roman"/>
                <w:bCs/>
              </w:rPr>
              <w:t>Ph:</w:t>
            </w:r>
            <w:r>
              <w:rPr>
                <w:rFonts w:ascii="Times New Roman" w:hAnsi="Times New Roman"/>
                <w:bCs/>
              </w:rPr>
              <w:t xml:space="preserve">+91 </w:t>
            </w:r>
            <w:r w:rsidRPr="00933885">
              <w:rPr>
                <w:rFonts w:ascii="Times New Roman" w:hAnsi="Times New Roman"/>
                <w:bCs/>
              </w:rPr>
              <w:t xml:space="preserve"> 0476 2665935, 266616 Fax : </w:t>
            </w:r>
            <w:r>
              <w:rPr>
                <w:rFonts w:ascii="Times New Roman" w:hAnsi="Times New Roman"/>
                <w:bCs/>
              </w:rPr>
              <w:t xml:space="preserve">+91 2665935 Web: </w:t>
            </w:r>
            <w:hyperlink r:id="rId6" w:history="1">
              <w:r w:rsidRPr="00933885">
                <w:rPr>
                  <w:rStyle w:val="Hyperlink"/>
                  <w:rFonts w:ascii="Times New Roman" w:hAnsi="Times New Roman"/>
                </w:rPr>
                <w:t>www.ceknpy.ac.in</w:t>
              </w:r>
            </w:hyperlink>
          </w:p>
          <w:p w:rsidR="00EB1368" w:rsidRDefault="00EB1368" w:rsidP="00AB305C">
            <w:hyperlink r:id="rId7" w:history="1">
              <w:r w:rsidRPr="00DB5BA9">
                <w:rPr>
                  <w:rStyle w:val="Hyperlink"/>
                  <w:rFonts w:ascii="Times New Roman" w:hAnsi="Times New Roman"/>
                </w:rPr>
                <w:t>principal@ceknpy.ac.in</w:t>
              </w:r>
            </w:hyperlink>
            <w:r w:rsidRPr="00DB5BA9">
              <w:rPr>
                <w:rFonts w:ascii="Times New Roman" w:hAnsi="Times New Roman"/>
              </w:rPr>
              <w:t xml:space="preserve">, </w:t>
            </w:r>
            <w:hyperlink r:id="rId8" w:history="1">
              <w:r w:rsidRPr="00C25A71">
                <w:rPr>
                  <w:rStyle w:val="Hyperlink"/>
                  <w:rFonts w:ascii="Times New Roman" w:hAnsi="Times New Roman"/>
                </w:rPr>
                <w:t>cekarunagappally.ihrd@ gmail.com</w:t>
              </w:r>
            </w:hyperlink>
          </w:p>
        </w:tc>
        <w:tc>
          <w:tcPr>
            <w:tcW w:w="1620" w:type="dxa"/>
          </w:tcPr>
          <w:p w:rsidR="00EB1368" w:rsidRDefault="00EB1368" w:rsidP="00AB305C">
            <w:r w:rsidRPr="00856DA9">
              <w:rPr>
                <w:noProof/>
              </w:rPr>
              <w:drawing>
                <wp:inline distT="0" distB="0" distL="0" distR="0">
                  <wp:extent cx="971550" cy="946638"/>
                  <wp:effectExtent l="19050" t="0" r="0" b="0"/>
                  <wp:docPr id="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46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368" w:rsidRDefault="00EB1368" w:rsidP="00EB1368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No.P</w:t>
      </w:r>
      <w:proofErr w:type="spellEnd"/>
      <w:r>
        <w:rPr>
          <w:rFonts w:ascii="Times New Roman" w:hAnsi="Times New Roman" w:cs="Times New Roman"/>
          <w:sz w:val="24"/>
          <w:szCs w:val="24"/>
        </w:rPr>
        <w:t>/1004/18/CEK (12)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dated: 13/12/2018</w:t>
      </w:r>
    </w:p>
    <w:p w:rsidR="00EB1368" w:rsidRPr="00933412" w:rsidRDefault="00EB1368" w:rsidP="00EB1368">
      <w:pPr>
        <w:tabs>
          <w:tab w:val="left" w:pos="2925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3412">
        <w:rPr>
          <w:rFonts w:ascii="Times New Roman" w:hAnsi="Times New Roman" w:cs="Times New Roman"/>
          <w:b/>
          <w:bCs/>
          <w:sz w:val="24"/>
          <w:szCs w:val="24"/>
          <w:u w:val="single"/>
        </w:rPr>
        <w:t>SHORT QUOTATION NOTICE</w:t>
      </w:r>
    </w:p>
    <w:p w:rsidR="00EB1368" w:rsidRDefault="00EB1368" w:rsidP="00EB1368">
      <w:pPr>
        <w:tabs>
          <w:tab w:val="left" w:pos="2925"/>
        </w:tabs>
        <w:ind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Sealed quotations are invited for the Supply of the following items.</w:t>
      </w:r>
    </w:p>
    <w:tbl>
      <w:tblPr>
        <w:tblStyle w:val="TableGrid"/>
        <w:tblW w:w="0" w:type="auto"/>
        <w:jc w:val="center"/>
        <w:tblLook w:val="04A0"/>
      </w:tblPr>
      <w:tblGrid>
        <w:gridCol w:w="714"/>
        <w:gridCol w:w="2483"/>
        <w:gridCol w:w="4118"/>
        <w:gridCol w:w="1056"/>
      </w:tblGrid>
      <w:tr w:rsidR="00EB1368" w:rsidTr="00AB305C">
        <w:trPr>
          <w:jc w:val="center"/>
        </w:trPr>
        <w:tc>
          <w:tcPr>
            <w:tcW w:w="714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2430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4118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056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</w:tr>
      <w:tr w:rsidR="00EB1368" w:rsidTr="00AB305C">
        <w:trPr>
          <w:jc w:val="center"/>
        </w:trPr>
        <w:tc>
          <w:tcPr>
            <w:tcW w:w="714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HD Smart LED TV80.1cm(43”)</w:t>
            </w:r>
          </w:p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(Sony/Samsung/Sanyo)</w:t>
            </w:r>
          </w:p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Resolution: Full HD(1920 X 1080 P) Refresh rate 50Hertz 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Display: X-reality Pro/HDR Smart T V Features: Built inW1F1/Linux Based OS/ you tube Direct /Opera Store/ 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flix</w:t>
            </w:r>
            <w:proofErr w:type="spellEnd"/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Connectivity: 2 HDm1 Ports to connect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box, Blue Ray players, gaming console/2usb’ports to connect hard DRIVES and other USB devises.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Sound: 30watts output/clear Audio + / Built in woofer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 -2 years.</w:t>
            </w:r>
          </w:p>
        </w:tc>
        <w:tc>
          <w:tcPr>
            <w:tcW w:w="1056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368" w:rsidTr="00AB305C">
        <w:trPr>
          <w:jc w:val="center"/>
        </w:trPr>
        <w:tc>
          <w:tcPr>
            <w:tcW w:w="714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HD Smart TV80.1cm(32”)</w:t>
            </w:r>
          </w:p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Sony/Samsung/Sanyo)</w:t>
            </w:r>
          </w:p>
        </w:tc>
        <w:tc>
          <w:tcPr>
            <w:tcW w:w="4118" w:type="dxa"/>
          </w:tcPr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Resolution: Full HD(1920 X 1080 P) Refresh rate 50Hertz 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Display: X-reality Pro/HDR Smart T V Features: Built inW1F1/Linux Based OS/ you tube Direct /Opera Store/ Net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flix</w:t>
            </w:r>
            <w:proofErr w:type="spellEnd"/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Connectivity: 2 HDm1 Ports to connect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box, Blue Ray players, gaming console/2usb’ports to connect hard DRIVES and other USB devises.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Sound: 30watts output/clear Audio + / Built in woofer</w:t>
            </w:r>
          </w:p>
          <w:p w:rsidR="00EB1368" w:rsidRDefault="00EB1368" w:rsidP="00AB305C">
            <w:pPr>
              <w:tabs>
                <w:tab w:val="left" w:pos="29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 -2 years.</w:t>
            </w:r>
          </w:p>
        </w:tc>
        <w:tc>
          <w:tcPr>
            <w:tcW w:w="1056" w:type="dxa"/>
            <w:vAlign w:val="center"/>
          </w:tcPr>
          <w:p w:rsidR="00EB1368" w:rsidRDefault="00EB1368" w:rsidP="00AB305C">
            <w:pPr>
              <w:tabs>
                <w:tab w:val="left" w:pos="29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EB1368" w:rsidRDefault="00EB1368" w:rsidP="00EB1368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EB1368" w:rsidRDefault="00EB1368" w:rsidP="00EB1368">
      <w:pPr>
        <w:tabs>
          <w:tab w:val="left" w:pos="29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envelope containing quotations should bear the superscription, “Quotation for the supply of Electronic Visual Display Devices for the college” and should be addressed to the Principal College of Engineering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Karunagappally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Intending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quotationists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submit the quotations in their own letter heads.</w:t>
      </w: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date fixed for receipt of the quotation is at 2.00 pm on 21/12/18 late quotation will not be accepted.  The quotation will be opened at 3.00 PM on 21/12/18 in the presence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quotationists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or their authorized representatives, who may be present at the time of opening the quotations.  All others details can be had from the college website </w:t>
      </w:r>
      <w:hyperlink r:id="rId10" w:history="1">
        <w:r w:rsidRPr="008300E0">
          <w:rPr>
            <w:rStyle w:val="Hyperlink"/>
            <w:rFonts w:ascii="Times New Roman" w:hAnsi="Times New Roman" w:cs="Times New Roman"/>
            <w:sz w:val="24"/>
            <w:szCs w:val="24"/>
          </w:rPr>
          <w:t>www.ceknpy.ac.in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B1368" w:rsidRDefault="00EB1368" w:rsidP="00EB1368">
      <w:pPr>
        <w:tabs>
          <w:tab w:val="left" w:pos="29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1368" w:rsidRDefault="00EB1368" w:rsidP="00EB1368">
      <w:pPr>
        <w:tabs>
          <w:tab w:val="left" w:pos="2925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33412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EB1368" w:rsidRPr="00FB7346" w:rsidRDefault="00EB1368" w:rsidP="00EB1368">
      <w:pPr>
        <w:spacing w:after="0"/>
        <w:rPr>
          <w:rFonts w:ascii="Book Antiqua" w:hAnsi="Book Antiqua" w:cs="Times New Roman"/>
          <w:sz w:val="24"/>
          <w:szCs w:val="24"/>
        </w:rPr>
      </w:pPr>
      <w:r w:rsidRPr="00FB7346">
        <w:rPr>
          <w:rFonts w:ascii="Book Antiqua" w:hAnsi="Book Antiqua" w:cs="Times New Roman"/>
          <w:sz w:val="24"/>
          <w:szCs w:val="24"/>
        </w:rPr>
        <w:t>To</w:t>
      </w:r>
    </w:p>
    <w:p w:rsidR="00EB1368" w:rsidRPr="00597B6F" w:rsidRDefault="00EB1368" w:rsidP="00EB1368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597B6F">
        <w:rPr>
          <w:rFonts w:ascii="Book Antiqua" w:hAnsi="Book Antiqua" w:cs="Times New Roman"/>
          <w:sz w:val="24"/>
          <w:szCs w:val="24"/>
        </w:rPr>
        <w:t>Notice Board</w:t>
      </w:r>
    </w:p>
    <w:p w:rsidR="00EB1368" w:rsidRPr="00597B6F" w:rsidRDefault="00EB1368" w:rsidP="00EB1368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597B6F">
        <w:rPr>
          <w:rFonts w:ascii="Book Antiqua" w:hAnsi="Book Antiqua" w:cs="Times New Roman"/>
          <w:sz w:val="24"/>
          <w:szCs w:val="24"/>
        </w:rPr>
        <w:t xml:space="preserve">Notice Board of </w:t>
      </w:r>
      <w:proofErr w:type="spellStart"/>
      <w:r w:rsidRPr="00597B6F">
        <w:rPr>
          <w:rFonts w:ascii="Book Antiqua" w:hAnsi="Book Antiqua" w:cs="Times New Roman"/>
          <w:sz w:val="24"/>
          <w:szCs w:val="24"/>
        </w:rPr>
        <w:t>Panchayath</w:t>
      </w:r>
      <w:proofErr w:type="spellEnd"/>
    </w:p>
    <w:p w:rsidR="00EB1368" w:rsidRPr="00524E4A" w:rsidRDefault="00EB1368" w:rsidP="00EB1368">
      <w:pPr>
        <w:pStyle w:val="ListParagraph"/>
        <w:numPr>
          <w:ilvl w:val="0"/>
          <w:numId w:val="1"/>
        </w:numPr>
        <w:spacing w:after="0"/>
        <w:rPr>
          <w:rFonts w:ascii="Book Antiqua" w:hAnsi="Book Antiqua" w:cs="Times New Roman"/>
          <w:sz w:val="24"/>
          <w:szCs w:val="24"/>
        </w:rPr>
      </w:pPr>
      <w:r w:rsidRPr="00597B6F">
        <w:rPr>
          <w:rFonts w:ascii="Book Antiqua" w:hAnsi="Book Antiqua" w:cs="Times New Roman"/>
          <w:sz w:val="24"/>
          <w:szCs w:val="24"/>
        </w:rPr>
        <w:t xml:space="preserve">Website </w:t>
      </w:r>
    </w:p>
    <w:p w:rsidR="00EB1368" w:rsidRDefault="00EB1368" w:rsidP="00EB1368">
      <w:pPr>
        <w:spacing w:after="0"/>
        <w:rPr>
          <w:rFonts w:ascii="Book Antiqua" w:hAnsi="Book Antiqua" w:cs="Times New Roman"/>
          <w:b/>
        </w:rPr>
      </w:pPr>
    </w:p>
    <w:p w:rsidR="00EB1368" w:rsidRDefault="00EB1368" w:rsidP="00EB1368">
      <w:pPr>
        <w:spacing w:after="0"/>
        <w:rPr>
          <w:rFonts w:ascii="Book Antiqua" w:hAnsi="Book Antiqua" w:cs="Times New Roman"/>
          <w:b/>
        </w:rPr>
      </w:pPr>
    </w:p>
    <w:p w:rsidR="00EB1368" w:rsidRDefault="00EB1368" w:rsidP="00EB1368">
      <w:pPr>
        <w:spacing w:after="0"/>
        <w:rPr>
          <w:rFonts w:ascii="Book Antiqua" w:hAnsi="Book Antiqua" w:cs="Times New Roman"/>
          <w:b/>
        </w:rPr>
      </w:pPr>
    </w:p>
    <w:p w:rsidR="00517B75" w:rsidRDefault="00517B75"/>
    <w:sectPr w:rsidR="00517B75" w:rsidSect="00835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5206D"/>
    <w:multiLevelType w:val="hybridMultilevel"/>
    <w:tmpl w:val="95AE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1368"/>
    <w:rsid w:val="00251D17"/>
    <w:rsid w:val="00385721"/>
    <w:rsid w:val="00456DA6"/>
    <w:rsid w:val="00517B75"/>
    <w:rsid w:val="005F423B"/>
    <w:rsid w:val="007C30E3"/>
    <w:rsid w:val="008351CF"/>
    <w:rsid w:val="00AD6F77"/>
    <w:rsid w:val="00EB1368"/>
    <w:rsid w:val="00EB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68"/>
    <w:pPr>
      <w:spacing w:before="0" w:after="200" w:line="276" w:lineRule="auto"/>
      <w:jc w:val="left"/>
    </w:pPr>
    <w:rPr>
      <w:rFonts w:eastAsiaTheme="minorEastAsia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368"/>
    <w:pPr>
      <w:spacing w:before="0" w:line="240" w:lineRule="auto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1368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EB1368"/>
    <w:pPr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68"/>
    <w:rPr>
      <w:rFonts w:ascii="Tahoma" w:eastAsiaTheme="minorEastAsia" w:hAnsi="Tahoma" w:cs="Tahoma"/>
      <w:sz w:val="16"/>
      <w:szCs w:val="16"/>
      <w:lang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karunagappally.ihrd@%20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ncipal@ceknpy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knpy.ac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eknpy.ac.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AdminCEK</dc:creator>
  <cp:lastModifiedBy>AdminCEK</cp:lastModifiedBy>
  <cp:revision>1</cp:revision>
  <dcterms:created xsi:type="dcterms:W3CDTF">2018-12-13T11:07:00Z</dcterms:created>
  <dcterms:modified xsi:type="dcterms:W3CDTF">2018-12-13T11:08:00Z</dcterms:modified>
</cp:coreProperties>
</file>